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7F" w:rsidRDefault="00FB3B19">
      <w:pPr>
        <w:spacing w:line="280" w:lineRule="atLeast"/>
        <w:jc w:val="center"/>
        <w:rPr>
          <w:rFonts w:ascii="Arial" w:hAnsi="Arial" w:cs="Arial"/>
          <w:b/>
          <w:sz w:val="24"/>
          <w:szCs w:val="24"/>
        </w:rPr>
      </w:pPr>
      <w:r>
        <w:rPr>
          <w:rFonts w:ascii="Arial" w:hAnsi="Arial"/>
          <w:b/>
          <w:sz w:val="24"/>
          <w:szCs w:val="24"/>
        </w:rPr>
        <w:t>Indicaţii de siguranţă privind comportamentul pe terenul centrului industrial</w:t>
      </w:r>
      <w:r>
        <w:rPr>
          <w:rFonts w:ascii="Arial" w:hAnsi="Arial"/>
          <w:b/>
          <w:sz w:val="24"/>
          <w:szCs w:val="24"/>
        </w:rPr>
        <w:t xml:space="preserve"> Deutsches Offshore Industrie Zentrum (locurile de ancorare 8 + 9)</w:t>
      </w:r>
    </w:p>
    <w:p w:rsidR="001A4B7F" w:rsidRDefault="001A4B7F">
      <w:pPr>
        <w:spacing w:line="280" w:lineRule="atLeast"/>
        <w:jc w:val="center"/>
        <w:rPr>
          <w:rFonts w:ascii="Arial" w:hAnsi="Arial" w:cs="Arial"/>
          <w:b/>
          <w:sz w:val="24"/>
          <w:szCs w:val="24"/>
        </w:rPr>
      </w:pPr>
    </w:p>
    <w:p w:rsidR="001A4B7F" w:rsidRDefault="001A4B7F">
      <w:pPr>
        <w:spacing w:line="280" w:lineRule="atLeast"/>
        <w:jc w:val="center"/>
        <w:rPr>
          <w:rFonts w:ascii="Arial" w:hAnsi="Arial" w:cs="Arial"/>
        </w:rPr>
      </w:pPr>
    </w:p>
    <w:p w:rsidR="001A4B7F" w:rsidRDefault="00FB3B19">
      <w:pPr>
        <w:spacing w:line="280" w:lineRule="atLeast"/>
        <w:rPr>
          <w:rFonts w:ascii="Arial" w:hAnsi="Arial" w:cs="Arial"/>
          <w:sz w:val="22"/>
          <w:szCs w:val="22"/>
        </w:rPr>
      </w:pPr>
      <w:r>
        <w:rPr>
          <w:rFonts w:ascii="Arial" w:hAnsi="Arial"/>
          <w:sz w:val="22"/>
          <w:szCs w:val="22"/>
        </w:rPr>
        <w:t>Bine aţi venit la Deutsches Offshore Industrie Zentrum Cuxhaven (DOIZ).</w:t>
      </w:r>
    </w:p>
    <w:p w:rsidR="001A4B7F" w:rsidRDefault="001A4B7F">
      <w:pPr>
        <w:spacing w:line="280" w:lineRule="atLeast"/>
        <w:rPr>
          <w:rFonts w:ascii="Arial" w:hAnsi="Arial" w:cs="Arial"/>
          <w:sz w:val="22"/>
          <w:szCs w:val="22"/>
        </w:rPr>
      </w:pPr>
    </w:p>
    <w:p w:rsidR="001A4B7F" w:rsidRDefault="00FB3B19">
      <w:pPr>
        <w:spacing w:line="280" w:lineRule="atLeast"/>
        <w:rPr>
          <w:rFonts w:ascii="Arial" w:hAnsi="Arial" w:cs="Arial"/>
          <w:sz w:val="22"/>
          <w:szCs w:val="22"/>
        </w:rPr>
      </w:pPr>
      <w:r>
        <w:rPr>
          <w:rFonts w:ascii="Arial" w:hAnsi="Arial"/>
          <w:sz w:val="22"/>
          <w:szCs w:val="22"/>
        </w:rPr>
        <w:t xml:space="preserve">Facilitatea portuară a DOIZ cu locurile sale de ancorare 8 şi 9 se supune dispoziţiilor Codului ISPS. </w:t>
      </w:r>
    </w:p>
    <w:p w:rsidR="001A4B7F" w:rsidRDefault="00FB3B19">
      <w:pPr>
        <w:spacing w:line="280" w:lineRule="atLeast"/>
        <w:rPr>
          <w:rFonts w:ascii="Arial" w:hAnsi="Arial" w:cs="Arial"/>
          <w:sz w:val="22"/>
          <w:szCs w:val="22"/>
        </w:rPr>
      </w:pPr>
      <w:r>
        <w:rPr>
          <w:rFonts w:ascii="Arial" w:hAnsi="Arial"/>
          <w:b/>
          <w:sz w:val="22"/>
          <w:szCs w:val="22"/>
        </w:rPr>
        <w:t>(I</w:t>
      </w:r>
      <w:r>
        <w:rPr>
          <w:rFonts w:ascii="Arial" w:hAnsi="Arial"/>
          <w:sz w:val="22"/>
          <w:szCs w:val="22"/>
        </w:rPr>
        <w:t>nternational</w:t>
      </w:r>
      <w:r>
        <w:rPr>
          <w:rFonts w:ascii="Arial" w:hAnsi="Arial"/>
          <w:b/>
          <w:sz w:val="22"/>
          <w:szCs w:val="22"/>
        </w:rPr>
        <w:t xml:space="preserve"> S</w:t>
      </w:r>
      <w:r>
        <w:rPr>
          <w:rFonts w:ascii="Arial" w:hAnsi="Arial"/>
          <w:sz w:val="22"/>
          <w:szCs w:val="22"/>
        </w:rPr>
        <w:t>hip and</w:t>
      </w:r>
      <w:r>
        <w:rPr>
          <w:rFonts w:ascii="Arial" w:hAnsi="Arial"/>
          <w:b/>
          <w:sz w:val="22"/>
          <w:szCs w:val="22"/>
        </w:rPr>
        <w:t xml:space="preserve"> P</w:t>
      </w:r>
      <w:r>
        <w:rPr>
          <w:rFonts w:ascii="Arial" w:hAnsi="Arial"/>
          <w:sz w:val="22"/>
          <w:szCs w:val="22"/>
        </w:rPr>
        <w:t>ort</w:t>
      </w:r>
      <w:r>
        <w:rPr>
          <w:rFonts w:ascii="Arial" w:hAnsi="Arial"/>
          <w:b/>
          <w:sz w:val="22"/>
          <w:szCs w:val="22"/>
        </w:rPr>
        <w:t xml:space="preserve"> S</w:t>
      </w:r>
      <w:r>
        <w:rPr>
          <w:rFonts w:ascii="Arial" w:hAnsi="Arial"/>
          <w:sz w:val="22"/>
          <w:szCs w:val="22"/>
        </w:rPr>
        <w:t>ecurity</w:t>
      </w:r>
      <w:r>
        <w:rPr>
          <w:rFonts w:ascii="Arial" w:hAnsi="Arial"/>
          <w:b/>
          <w:sz w:val="22"/>
          <w:szCs w:val="22"/>
        </w:rPr>
        <w:t xml:space="preserve"> / S</w:t>
      </w:r>
      <w:r>
        <w:rPr>
          <w:rFonts w:ascii="Arial" w:hAnsi="Arial"/>
          <w:sz w:val="22"/>
          <w:szCs w:val="22"/>
        </w:rPr>
        <w:t xml:space="preserve">ecuritatea </w:t>
      </w:r>
      <w:r>
        <w:rPr>
          <w:rFonts w:ascii="Arial" w:hAnsi="Arial"/>
          <w:b/>
          <w:sz w:val="22"/>
          <w:szCs w:val="22"/>
        </w:rPr>
        <w:t>I</w:t>
      </w:r>
      <w:r>
        <w:rPr>
          <w:rFonts w:ascii="Arial" w:hAnsi="Arial"/>
          <w:sz w:val="22"/>
          <w:szCs w:val="22"/>
        </w:rPr>
        <w:t>nternaţională a</w:t>
      </w:r>
      <w:r>
        <w:rPr>
          <w:rFonts w:ascii="Arial" w:hAnsi="Arial"/>
          <w:b/>
          <w:sz w:val="22"/>
          <w:szCs w:val="22"/>
        </w:rPr>
        <w:t xml:space="preserve"> N</w:t>
      </w:r>
      <w:r>
        <w:rPr>
          <w:rFonts w:ascii="Arial" w:hAnsi="Arial"/>
          <w:sz w:val="22"/>
          <w:szCs w:val="22"/>
        </w:rPr>
        <w:t xml:space="preserve">avelor şi a </w:t>
      </w:r>
      <w:r>
        <w:rPr>
          <w:rFonts w:ascii="Arial" w:hAnsi="Arial"/>
          <w:b/>
          <w:sz w:val="22"/>
          <w:szCs w:val="22"/>
        </w:rPr>
        <w:t>F</w:t>
      </w:r>
      <w:r>
        <w:rPr>
          <w:rFonts w:ascii="Arial" w:hAnsi="Arial"/>
          <w:sz w:val="22"/>
          <w:szCs w:val="22"/>
        </w:rPr>
        <w:t xml:space="preserve">acilităţilor </w:t>
      </w:r>
      <w:r>
        <w:rPr>
          <w:rFonts w:ascii="Arial" w:hAnsi="Arial"/>
          <w:b/>
          <w:sz w:val="22"/>
          <w:szCs w:val="22"/>
        </w:rPr>
        <w:t>P</w:t>
      </w:r>
      <w:r>
        <w:rPr>
          <w:rFonts w:ascii="Arial" w:hAnsi="Arial"/>
          <w:sz w:val="22"/>
          <w:szCs w:val="22"/>
        </w:rPr>
        <w:t>ortuare).</w:t>
      </w:r>
    </w:p>
    <w:p w:rsidR="001A4B7F" w:rsidRDefault="001A4B7F">
      <w:pPr>
        <w:spacing w:line="280" w:lineRule="atLeast"/>
        <w:rPr>
          <w:rFonts w:ascii="Arial" w:hAnsi="Arial" w:cs="Arial"/>
          <w:sz w:val="22"/>
          <w:szCs w:val="22"/>
        </w:rPr>
      </w:pPr>
    </w:p>
    <w:p w:rsidR="001A4B7F" w:rsidRDefault="00FB3B19">
      <w:pPr>
        <w:spacing w:line="280" w:lineRule="atLeast"/>
        <w:rPr>
          <w:rFonts w:ascii="Arial" w:hAnsi="Arial" w:cs="Arial"/>
          <w:sz w:val="22"/>
          <w:szCs w:val="22"/>
        </w:rPr>
      </w:pPr>
      <w:r>
        <w:rPr>
          <w:rFonts w:ascii="Arial" w:hAnsi="Arial"/>
          <w:sz w:val="22"/>
          <w:szCs w:val="22"/>
        </w:rPr>
        <w:t>Acest cod reglementează de asemenea comportam</w:t>
      </w:r>
      <w:r>
        <w:rPr>
          <w:rFonts w:ascii="Arial" w:hAnsi="Arial"/>
          <w:sz w:val="22"/>
          <w:szCs w:val="22"/>
        </w:rPr>
        <w:t xml:space="preserve">entul tuturor persoanelor în cadrul facilităţii portuare, pentru a garanta </w:t>
      </w:r>
      <w:bookmarkStart w:id="0" w:name="_GoBack"/>
      <w:bookmarkEnd w:id="0"/>
      <w:r>
        <w:rPr>
          <w:rFonts w:ascii="Arial" w:hAnsi="Arial"/>
          <w:sz w:val="22"/>
          <w:szCs w:val="22"/>
        </w:rPr>
        <w:t xml:space="preserve">cea mai bună protecţie posibilă împotriva accesului neautorizat şi introducerii de obiecte periculoase (de ex. arme, material </w:t>
      </w:r>
      <w:r>
        <w:rPr>
          <w:rFonts w:ascii="Arial" w:hAnsi="Arial"/>
          <w:sz w:val="22"/>
          <w:szCs w:val="22"/>
        </w:rPr>
        <w:t xml:space="preserve">explozibil etc.). </w:t>
      </w:r>
    </w:p>
    <w:p w:rsidR="001A4B7F" w:rsidRDefault="001A4B7F">
      <w:pPr>
        <w:spacing w:line="280" w:lineRule="atLeast"/>
        <w:rPr>
          <w:rFonts w:ascii="Arial" w:hAnsi="Arial" w:cs="Arial"/>
          <w:sz w:val="22"/>
          <w:szCs w:val="22"/>
        </w:rPr>
      </w:pPr>
    </w:p>
    <w:p w:rsidR="001A4B7F" w:rsidRDefault="00FB3B19">
      <w:pPr>
        <w:spacing w:line="280" w:lineRule="atLeast"/>
        <w:rPr>
          <w:rFonts w:ascii="Arial" w:hAnsi="Arial" w:cs="Arial"/>
          <w:sz w:val="22"/>
          <w:szCs w:val="22"/>
        </w:rPr>
      </w:pPr>
      <w:r>
        <w:rPr>
          <w:rFonts w:ascii="Arial" w:hAnsi="Arial"/>
          <w:sz w:val="22"/>
          <w:szCs w:val="22"/>
        </w:rPr>
        <w:t>Prin înregistrarea la punctul de protecţie u</w:t>
      </w:r>
      <w:r>
        <w:rPr>
          <w:rFonts w:ascii="Arial" w:hAnsi="Arial"/>
          <w:sz w:val="22"/>
          <w:szCs w:val="22"/>
        </w:rPr>
        <w:t>zinală, acceptaţi ca având caracter obligatoriu următoarele reguli şi respectarea acestora faţă de societatea Niedersachsen Ports GmbH und Co. KG (NPorts), la pătrunderea în DOIS:</w:t>
      </w:r>
    </w:p>
    <w:p w:rsidR="001A4B7F" w:rsidRDefault="001A4B7F">
      <w:pPr>
        <w:spacing w:line="280" w:lineRule="atLeast"/>
        <w:ind w:left="567" w:hanging="567"/>
        <w:rPr>
          <w:rFonts w:ascii="Arial" w:hAnsi="Arial" w:cs="Arial"/>
          <w:sz w:val="22"/>
          <w:szCs w:val="22"/>
        </w:rPr>
      </w:pP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La fiecare intrare şi ieşire din perimetru este obligatorie înregistrarea l</w:t>
      </w:r>
      <w:r>
        <w:rPr>
          <w:rFonts w:ascii="Arial" w:hAnsi="Arial"/>
          <w:sz w:val="22"/>
          <w:szCs w:val="22"/>
        </w:rPr>
        <w:t>a punctul de protecţie uzinală, în acest sens fiind necesară pregătirea unui document de identitate valabil. La intrarea sau ieşirea cu un autoturism sau camion, şoferul trebuie să prezinte, la cerere, un permis de conducere valabil.</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Trebuie respectate dis</w:t>
      </w:r>
      <w:r>
        <w:rPr>
          <w:rFonts w:ascii="Arial" w:hAnsi="Arial"/>
          <w:sz w:val="22"/>
          <w:szCs w:val="22"/>
        </w:rPr>
        <w:t>poziţiile personalului de pază.</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 xml:space="preserve">Trebuie respectate panourile informative ale facilităţii portuare. </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Pe întreg perimetrul DOIZ se aplică dispoziţiile Codului rutier german (StVO). Pe perimetrul DOIZ este permisă doar intrarea sau ieşirea vehiculelor a căror</w:t>
      </w:r>
      <w:r>
        <w:rPr>
          <w:rFonts w:ascii="Arial" w:hAnsi="Arial"/>
          <w:sz w:val="22"/>
          <w:szCs w:val="22"/>
        </w:rPr>
        <w:t xml:space="preserve"> securitate la transport este garantată şi care sunt în conformitate cu dispoziţiile ADR (securitatea încărcăturii).</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Pe întreg perimetrul portuar se aplică o viteză maximă de 30 km/h.</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Intrările şi ieşirile sunt monitorizate video şi înregistrate.</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 xml:space="preserve">Trecerea </w:t>
      </w:r>
      <w:r>
        <w:rPr>
          <w:rFonts w:ascii="Arial" w:hAnsi="Arial"/>
          <w:sz w:val="22"/>
          <w:szCs w:val="22"/>
        </w:rPr>
        <w:t xml:space="preserve">prin porţi care se deschid sau închid – fapt ce poate fi recunoscut după lumina galbenă pâlpâitoare- este strict INTERZISĂ! </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 xml:space="preserve">Când lucraţi, comportaţi-vă în aşa fel, încât securitatea dumneavoastră şi a altor persoane să fie garantată în orice moment. </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Pent</w:t>
      </w:r>
      <w:r>
        <w:rPr>
          <w:rFonts w:ascii="Arial" w:hAnsi="Arial"/>
          <w:sz w:val="22"/>
          <w:szCs w:val="22"/>
        </w:rPr>
        <w:t>ru activităţile desfăşurate de dumneavoastră pe perimetrul DOIZ trebuie purtate echipamentele individuale necesare de protecţie, ca de ex. încălţăminte de siguranţă pentru lucru, vestă reflectorizantă şi cască, în conformitate cu cerinţele beneficiarului r</w:t>
      </w:r>
      <w:r>
        <w:rPr>
          <w:rFonts w:ascii="Arial" w:hAnsi="Arial"/>
          <w:sz w:val="22"/>
          <w:szCs w:val="22"/>
        </w:rPr>
        <w:t xml:space="preserve">espectiv. </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Atenţie la sarcini suspendate şi traficul intersectat, cauzat de vehicule de transport uzinal. Utilajele mari au prioritate. Este interzisă parcarea pe şi lângă şinele de macara.</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 xml:space="preserve">Sunt interzise înregistrările foto şi video de orice natură, fără </w:t>
      </w:r>
      <w:r>
        <w:rPr>
          <w:rFonts w:ascii="Arial" w:hAnsi="Arial"/>
          <w:sz w:val="22"/>
          <w:szCs w:val="22"/>
        </w:rPr>
        <w:t>consimţământul prealabil din partea NPorts, acest lucru fiind de asemenea valabil pentru înregistrări realizate cu drone.</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Este interzisă lăsarea în urmă de gunoaie şi alte obiecte după încheierea şederii dumneavoastră, operaţiunea de curăţare efectuată apo</w:t>
      </w:r>
      <w:r>
        <w:rPr>
          <w:rFonts w:ascii="Arial" w:hAnsi="Arial"/>
          <w:sz w:val="22"/>
          <w:szCs w:val="22"/>
        </w:rPr>
        <w:t>i de către NPorts fiindu-vă facturată. Este interzis lucrul cu foc deschis pe întreg perimetrul DOIZ.</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 xml:space="preserve">În cazul contaminărilor ce pun în pericol mediul (deversare de petrol) trebuie informat imediat punctul de protecţie uzinală de la poarta principală. </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 xml:space="preserve">Transportul sau introducerea de substanţe periculoase pentru mediu sau nocive pe perimetrul DOIS trebuie înregistrat, respectiv comunicat punctului de protecţie </w:t>
      </w:r>
      <w:r>
        <w:rPr>
          <w:rFonts w:ascii="Arial" w:hAnsi="Arial"/>
          <w:sz w:val="22"/>
          <w:szCs w:val="22"/>
        </w:rPr>
        <w:lastRenderedPageBreak/>
        <w:t>uzinală/la poarta principală. Evaluările de risc necesare, fişele de securitate a datelor, inst</w:t>
      </w:r>
      <w:r>
        <w:rPr>
          <w:rFonts w:ascii="Arial" w:hAnsi="Arial"/>
          <w:sz w:val="22"/>
          <w:szCs w:val="22"/>
        </w:rPr>
        <w:t xml:space="preserve">rucţiunile de operare, precum şi măsurile de protecţie stabilite în acestea trebuie prezentate şi documentate, la cerere. </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Este interzisă introducerea de arme şi alte obiecte periculoase.</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Accidentele, incidentele şi alte evenimente de orice natură se rapor</w:t>
      </w:r>
      <w:r>
        <w:rPr>
          <w:rFonts w:ascii="Arial" w:hAnsi="Arial"/>
          <w:sz w:val="22"/>
          <w:szCs w:val="22"/>
        </w:rPr>
        <w:t xml:space="preserve">tează imediat punctului de protecţie uzinală de la poarta principală, după ce au fost iniţiate imediat şi finalizate măsurile şi acţiunile urgente. </w:t>
      </w:r>
    </w:p>
    <w:p w:rsidR="001A4B7F" w:rsidRDefault="00FB3B19">
      <w:pPr>
        <w:numPr>
          <w:ilvl w:val="0"/>
          <w:numId w:val="1"/>
        </w:numPr>
        <w:spacing w:line="280" w:lineRule="atLeast"/>
        <w:ind w:left="567" w:hanging="567"/>
        <w:rPr>
          <w:rFonts w:ascii="Arial" w:hAnsi="Arial" w:cs="Arial"/>
          <w:sz w:val="22"/>
          <w:szCs w:val="22"/>
        </w:rPr>
      </w:pPr>
      <w:r>
        <w:rPr>
          <w:rFonts w:ascii="Arial" w:hAnsi="Arial"/>
          <w:sz w:val="22"/>
          <w:szCs w:val="22"/>
        </w:rPr>
        <w:t>Încălcările repetate ale acestei dispoziţii pot atrage după sine interzicerea temporară sau permanentă a ac</w:t>
      </w:r>
      <w:r>
        <w:rPr>
          <w:rFonts w:ascii="Arial" w:hAnsi="Arial"/>
          <w:sz w:val="22"/>
          <w:szCs w:val="22"/>
        </w:rPr>
        <w:t>cesului şi facturarea costurilor în vederea înlăturării consecinţelor nerespectării.</w:t>
      </w:r>
    </w:p>
    <w:p w:rsidR="001A4B7F" w:rsidRDefault="001A4B7F">
      <w:pPr>
        <w:spacing w:line="280" w:lineRule="atLeast"/>
        <w:ind w:left="567" w:hanging="567"/>
        <w:rPr>
          <w:rFonts w:ascii="Arial" w:hAnsi="Arial" w:cs="Arial"/>
          <w:sz w:val="22"/>
          <w:szCs w:val="22"/>
        </w:rPr>
      </w:pPr>
    </w:p>
    <w:p w:rsidR="001A4B7F" w:rsidRDefault="00FB3B19">
      <w:pPr>
        <w:spacing w:line="280" w:lineRule="atLeast"/>
        <w:ind w:left="-284" w:right="-199" w:firstLine="284"/>
        <w:rPr>
          <w:rFonts w:ascii="Arial" w:hAnsi="Arial" w:cs="Arial"/>
          <w:sz w:val="22"/>
          <w:szCs w:val="22"/>
        </w:rPr>
      </w:pPr>
      <w:r>
        <w:rPr>
          <w:rFonts w:ascii="Arial" w:hAnsi="Arial"/>
          <w:sz w:val="22"/>
          <w:szCs w:val="22"/>
        </w:rPr>
        <w:t>În plus, vă rugăm să fiţi atenţi:</w:t>
      </w:r>
    </w:p>
    <w:p w:rsidR="001A4B7F" w:rsidRDefault="001A4B7F">
      <w:pPr>
        <w:spacing w:line="280" w:lineRule="atLeast"/>
        <w:ind w:left="-284" w:right="-199" w:firstLine="284"/>
        <w:rPr>
          <w:rFonts w:ascii="Arial" w:hAnsi="Arial" w:cs="Arial"/>
          <w:sz w:val="22"/>
          <w:szCs w:val="22"/>
        </w:rPr>
      </w:pPr>
    </w:p>
    <w:p w:rsidR="001A4B7F" w:rsidRDefault="00FB3B19">
      <w:pPr>
        <w:numPr>
          <w:ilvl w:val="0"/>
          <w:numId w:val="2"/>
        </w:numPr>
        <w:spacing w:line="280" w:lineRule="atLeast"/>
        <w:ind w:right="-199"/>
        <w:rPr>
          <w:rFonts w:ascii="Arial" w:hAnsi="Arial" w:cs="Arial"/>
          <w:sz w:val="22"/>
          <w:szCs w:val="22"/>
        </w:rPr>
      </w:pPr>
      <w:r>
        <w:rPr>
          <w:rFonts w:ascii="Arial" w:hAnsi="Arial"/>
          <w:sz w:val="22"/>
          <w:szCs w:val="22"/>
        </w:rPr>
        <w:t>la persoane suspecte în interiorul şi exteriorul facilităţii portuare</w:t>
      </w:r>
    </w:p>
    <w:p w:rsidR="001A4B7F" w:rsidRDefault="00FB3B19">
      <w:pPr>
        <w:numPr>
          <w:ilvl w:val="0"/>
          <w:numId w:val="2"/>
        </w:numPr>
        <w:spacing w:line="280" w:lineRule="atLeast"/>
        <w:ind w:right="-199"/>
        <w:rPr>
          <w:rFonts w:ascii="Arial" w:hAnsi="Arial" w:cs="Arial"/>
          <w:sz w:val="22"/>
          <w:szCs w:val="22"/>
        </w:rPr>
      </w:pPr>
      <w:r>
        <w:rPr>
          <w:rFonts w:ascii="Arial" w:hAnsi="Arial"/>
          <w:sz w:val="22"/>
          <w:szCs w:val="22"/>
        </w:rPr>
        <w:t>la obiecte sau containere suspecte în interiorul şi exteriorul fa</w:t>
      </w:r>
      <w:r>
        <w:rPr>
          <w:rFonts w:ascii="Arial" w:hAnsi="Arial"/>
          <w:sz w:val="22"/>
          <w:szCs w:val="22"/>
        </w:rPr>
        <w:t>cilităţii portuare</w:t>
      </w:r>
    </w:p>
    <w:p w:rsidR="001A4B7F" w:rsidRDefault="001A4B7F">
      <w:pPr>
        <w:spacing w:line="280" w:lineRule="atLeast"/>
        <w:ind w:right="-199"/>
        <w:rPr>
          <w:rFonts w:ascii="Arial" w:hAnsi="Arial" w:cs="Arial"/>
          <w:sz w:val="22"/>
          <w:szCs w:val="22"/>
        </w:rPr>
      </w:pPr>
    </w:p>
    <w:p w:rsidR="001A4B7F" w:rsidRDefault="00FB3B19">
      <w:pPr>
        <w:spacing w:line="280" w:lineRule="atLeast"/>
        <w:ind w:right="-199"/>
        <w:rPr>
          <w:rFonts w:ascii="Arial" w:hAnsi="Arial" w:cs="Arial"/>
          <w:sz w:val="22"/>
          <w:szCs w:val="22"/>
        </w:rPr>
      </w:pPr>
      <w:r>
        <w:rPr>
          <w:rFonts w:ascii="Arial" w:hAnsi="Arial"/>
          <w:sz w:val="22"/>
          <w:szCs w:val="22"/>
        </w:rPr>
        <w:t>şi să raportaţi acest aspect la numărul de telefon specificat mai jos.</w:t>
      </w:r>
    </w:p>
    <w:p w:rsidR="001A4B7F" w:rsidRDefault="001A4B7F">
      <w:pPr>
        <w:spacing w:line="280" w:lineRule="atLeast"/>
        <w:ind w:right="-199"/>
        <w:rPr>
          <w:rFonts w:ascii="Arial" w:hAnsi="Arial" w:cs="Arial"/>
          <w:sz w:val="22"/>
          <w:szCs w:val="22"/>
        </w:rPr>
      </w:pPr>
    </w:p>
    <w:p w:rsidR="001A4B7F" w:rsidRDefault="001A4B7F">
      <w:pPr>
        <w:spacing w:line="280" w:lineRule="atLeast"/>
        <w:ind w:right="-199"/>
        <w:rPr>
          <w:rFonts w:ascii="Arial" w:hAnsi="Arial" w:cs="Arial"/>
        </w:rPr>
      </w:pPr>
    </w:p>
    <w:p w:rsidR="001A4B7F" w:rsidRDefault="00FB3B19">
      <w:pPr>
        <w:spacing w:line="280" w:lineRule="atLeast"/>
        <w:ind w:right="-199"/>
        <w:jc w:val="center"/>
        <w:rPr>
          <w:rFonts w:ascii="Arial" w:hAnsi="Arial" w:cs="Arial"/>
          <w:sz w:val="32"/>
          <w:szCs w:val="32"/>
        </w:rPr>
      </w:pPr>
      <w:r>
        <w:rPr>
          <w:rFonts w:ascii="Arial" w:hAnsi="Arial"/>
          <w:b/>
          <w:sz w:val="32"/>
          <w:szCs w:val="32"/>
        </w:rPr>
        <w:t>Autoritatea care trebuie informată</w:t>
      </w:r>
      <w:r>
        <w:rPr>
          <w:rFonts w:ascii="Arial" w:hAnsi="Arial"/>
          <w:sz w:val="32"/>
          <w:szCs w:val="32"/>
        </w:rPr>
        <w:t xml:space="preserve"> în orice moment pentru orice chestiune este Căpitănia portuară a societăţii Niedersachsen Ports GmbH und Co. KG, ce poate fi contactată la </w:t>
      </w:r>
      <w:r>
        <w:rPr>
          <w:rFonts w:ascii="Arial" w:hAnsi="Arial"/>
          <w:b/>
          <w:sz w:val="32"/>
          <w:szCs w:val="32"/>
        </w:rPr>
        <w:t>04721-500 150.</w:t>
      </w:r>
    </w:p>
    <w:p w:rsidR="001A4B7F" w:rsidRDefault="001A4B7F">
      <w:pPr>
        <w:spacing w:line="280" w:lineRule="atLeast"/>
        <w:ind w:right="-199"/>
        <w:rPr>
          <w:rFonts w:ascii="Arial" w:hAnsi="Arial" w:cs="Arial"/>
          <w:sz w:val="32"/>
          <w:szCs w:val="32"/>
        </w:rPr>
      </w:pPr>
    </w:p>
    <w:p w:rsidR="001A4B7F" w:rsidRDefault="001A4B7F">
      <w:pPr>
        <w:spacing w:line="280" w:lineRule="atLeast"/>
        <w:ind w:right="-199"/>
        <w:rPr>
          <w:rFonts w:ascii="Arial" w:hAnsi="Arial" w:cs="Arial"/>
        </w:rPr>
      </w:pPr>
    </w:p>
    <w:p w:rsidR="001A4B7F" w:rsidRDefault="001A4B7F">
      <w:pPr>
        <w:spacing w:line="280" w:lineRule="atLeast"/>
        <w:ind w:right="-199"/>
        <w:rPr>
          <w:rFonts w:ascii="Arial" w:hAnsi="Arial" w:cs="Arial"/>
        </w:rPr>
      </w:pPr>
    </w:p>
    <w:p w:rsidR="001A4B7F" w:rsidRDefault="00FB3B19">
      <w:pPr>
        <w:spacing w:line="280" w:lineRule="atLeast"/>
        <w:ind w:right="-199"/>
        <w:rPr>
          <w:rFonts w:ascii="Arial" w:hAnsi="Arial" w:cs="Arial"/>
          <w:sz w:val="24"/>
          <w:szCs w:val="24"/>
        </w:rPr>
      </w:pPr>
      <w:r>
        <w:rPr>
          <w:rFonts w:ascii="Arial" w:hAnsi="Arial"/>
          <w:sz w:val="24"/>
          <w:szCs w:val="24"/>
        </w:rPr>
        <w:t>Vă mulţumim pentru respectarea şi implementarea acestui ghid şi vă dorim şedere în siguranţă în De</w:t>
      </w:r>
      <w:r>
        <w:rPr>
          <w:rFonts w:ascii="Arial" w:hAnsi="Arial"/>
          <w:sz w:val="24"/>
          <w:szCs w:val="24"/>
        </w:rPr>
        <w:t xml:space="preserve">utsches Offshore Industrie Zentrum. </w:t>
      </w:r>
    </w:p>
    <w:p w:rsidR="001A4B7F" w:rsidRDefault="001A4B7F">
      <w:pPr>
        <w:spacing w:line="280" w:lineRule="atLeast"/>
        <w:ind w:right="-199"/>
        <w:rPr>
          <w:rFonts w:ascii="Arial" w:hAnsi="Arial" w:cs="Arial"/>
          <w:sz w:val="24"/>
          <w:szCs w:val="24"/>
        </w:rPr>
      </w:pPr>
    </w:p>
    <w:p w:rsidR="001A4B7F" w:rsidRDefault="001A4B7F">
      <w:pPr>
        <w:spacing w:line="280" w:lineRule="atLeast"/>
        <w:ind w:right="-199"/>
        <w:rPr>
          <w:rFonts w:ascii="Arial" w:hAnsi="Arial" w:cs="Arial"/>
          <w:sz w:val="24"/>
          <w:szCs w:val="24"/>
        </w:rPr>
      </w:pPr>
    </w:p>
    <w:p w:rsidR="001A4B7F" w:rsidRDefault="001A4B7F">
      <w:pPr>
        <w:spacing w:line="280" w:lineRule="atLeast"/>
        <w:ind w:right="-199"/>
        <w:rPr>
          <w:rFonts w:ascii="Arial" w:hAnsi="Arial" w:cs="Arial"/>
          <w:sz w:val="24"/>
          <w:szCs w:val="24"/>
        </w:rPr>
      </w:pPr>
    </w:p>
    <w:p w:rsidR="001A4B7F" w:rsidRDefault="001A4B7F">
      <w:pPr>
        <w:spacing w:line="280" w:lineRule="atLeast"/>
        <w:ind w:right="-199"/>
        <w:rPr>
          <w:rFonts w:ascii="Arial" w:hAnsi="Arial" w:cs="Arial"/>
          <w:sz w:val="24"/>
          <w:szCs w:val="24"/>
        </w:rPr>
      </w:pPr>
    </w:p>
    <w:p w:rsidR="001A4B7F" w:rsidRDefault="001A4B7F">
      <w:pPr>
        <w:spacing w:line="280" w:lineRule="atLeast"/>
        <w:ind w:right="-199"/>
        <w:rPr>
          <w:rFonts w:ascii="Arial" w:hAnsi="Arial" w:cs="Arial"/>
          <w:sz w:val="24"/>
          <w:szCs w:val="24"/>
        </w:rPr>
      </w:pPr>
    </w:p>
    <w:p w:rsidR="001A4B7F" w:rsidRDefault="001A4B7F">
      <w:pPr>
        <w:spacing w:line="280" w:lineRule="atLeast"/>
        <w:ind w:right="-199"/>
        <w:rPr>
          <w:rFonts w:ascii="Arial" w:hAnsi="Arial" w:cs="Arial"/>
          <w:sz w:val="24"/>
          <w:szCs w:val="24"/>
        </w:rPr>
      </w:pPr>
    </w:p>
    <w:p w:rsidR="001A4B7F" w:rsidRDefault="001A4B7F">
      <w:pPr>
        <w:spacing w:line="280" w:lineRule="atLeast"/>
        <w:ind w:right="-199"/>
        <w:rPr>
          <w:rFonts w:ascii="Arial" w:hAnsi="Arial" w:cs="Arial"/>
          <w:sz w:val="24"/>
          <w:szCs w:val="24"/>
        </w:rPr>
      </w:pPr>
    </w:p>
    <w:p w:rsidR="001A4B7F" w:rsidRDefault="001A4B7F">
      <w:pPr>
        <w:spacing w:line="280" w:lineRule="atLeast"/>
        <w:ind w:right="-199"/>
        <w:rPr>
          <w:rFonts w:ascii="Arial" w:hAnsi="Arial" w:cs="Arial"/>
          <w:sz w:val="24"/>
          <w:szCs w:val="24"/>
        </w:rPr>
      </w:pPr>
    </w:p>
    <w:p w:rsidR="001A4B7F" w:rsidRDefault="00FB3B19">
      <w:pPr>
        <w:spacing w:line="280" w:lineRule="atLeast"/>
        <w:ind w:right="-199"/>
        <w:rPr>
          <w:rFonts w:ascii="Arial" w:hAnsi="Arial" w:cs="Arial"/>
          <w:sz w:val="24"/>
          <w:szCs w:val="24"/>
        </w:rPr>
      </w:pPr>
      <w:r>
        <w:rPr>
          <w:rFonts w:ascii="Arial" w:hAnsi="Arial"/>
          <w:sz w:val="24"/>
          <w:szCs w:val="24"/>
        </w:rPr>
        <w:t>________________________</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________________________</w:t>
      </w:r>
    </w:p>
    <w:p w:rsidR="001A4B7F" w:rsidRDefault="00FB3B19">
      <w:pPr>
        <w:spacing w:line="280" w:lineRule="atLeast"/>
        <w:ind w:right="-199"/>
        <w:rPr>
          <w:rFonts w:ascii="Arial" w:hAnsi="Arial" w:cs="Arial"/>
          <w:sz w:val="24"/>
          <w:szCs w:val="24"/>
        </w:rPr>
      </w:pPr>
      <w:r>
        <w:rPr>
          <w:rFonts w:ascii="Arial" w:hAnsi="Arial"/>
          <w:sz w:val="24"/>
          <w:szCs w:val="24"/>
        </w:rPr>
        <w:t xml:space="preserve">Hans-Gerd Janssen,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 xml:space="preserve">André Dmuschewski, </w:t>
      </w:r>
    </w:p>
    <w:p w:rsidR="001A4B7F" w:rsidRDefault="00FB3B19">
      <w:pPr>
        <w:spacing w:line="280" w:lineRule="atLeast"/>
        <w:ind w:right="-199"/>
        <w:rPr>
          <w:rFonts w:ascii="Arial" w:hAnsi="Arial" w:cs="Arial"/>
          <w:sz w:val="24"/>
          <w:szCs w:val="24"/>
        </w:rPr>
      </w:pPr>
      <w:r>
        <w:rPr>
          <w:rFonts w:ascii="Arial" w:hAnsi="Arial"/>
          <w:sz w:val="24"/>
          <w:szCs w:val="24"/>
        </w:rPr>
        <w:t xml:space="preserve">Director filială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t>PFSO</w:t>
      </w:r>
    </w:p>
    <w:p w:rsidR="001A4B7F" w:rsidRDefault="00FB3B19">
      <w:pPr>
        <w:spacing w:line="280" w:lineRule="atLeast"/>
        <w:ind w:right="-199"/>
        <w:rPr>
          <w:rFonts w:ascii="Arial" w:hAnsi="Arial" w:cs="Arial"/>
          <w:sz w:val="24"/>
          <w:szCs w:val="24"/>
        </w:rPr>
      </w:pPr>
      <w:r>
        <w:rPr>
          <w:rFonts w:ascii="Arial" w:hAnsi="Arial"/>
          <w:sz w:val="24"/>
          <w:szCs w:val="24"/>
        </w:rPr>
        <w:t xml:space="preserve">Niedersachsen Ports GmbH und Co. </w:t>
      </w:r>
    </w:p>
    <w:p w:rsidR="001A4B7F" w:rsidRDefault="001A4B7F"/>
    <w:sectPr w:rsidR="001A4B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83F4C"/>
    <w:multiLevelType w:val="hybridMultilevel"/>
    <w:tmpl w:val="C7988E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D575650"/>
    <w:multiLevelType w:val="hybridMultilevel"/>
    <w:tmpl w:val="FF085F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7F"/>
    <w:rsid w:val="001A4B7F"/>
    <w:rsid w:val="00FB3B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A5F6C-7B69-40D9-8F52-7B5BC21D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Lanzer</dc:creator>
  <cp:keywords/>
  <dc:description/>
  <cp:lastModifiedBy>Gabriel Balan</cp:lastModifiedBy>
  <cp:revision>2</cp:revision>
  <dcterms:created xsi:type="dcterms:W3CDTF">2017-12-17T12:41:00Z</dcterms:created>
  <dcterms:modified xsi:type="dcterms:W3CDTF">2017-12-17T12:41:00Z</dcterms:modified>
</cp:coreProperties>
</file>